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91" w:rsidRPr="0096313C" w:rsidRDefault="009D1F91" w:rsidP="009D1F91">
      <w:pPr>
        <w:jc w:val="center"/>
        <w:rPr>
          <w:b/>
          <w:szCs w:val="24"/>
          <w:u w:val="single"/>
          <w:lang w:val="en-US"/>
        </w:rPr>
      </w:pPr>
      <w:r w:rsidRPr="0096313C">
        <w:rPr>
          <w:b/>
          <w:szCs w:val="24"/>
          <w:u w:val="single"/>
          <w:lang w:val="en-US"/>
        </w:rPr>
        <w:t>The 2014 Euro Health Consumer Index:</w:t>
      </w:r>
    </w:p>
    <w:p w:rsidR="009D1F91" w:rsidRPr="0096313C" w:rsidRDefault="009D1F91" w:rsidP="009D1F91">
      <w:pPr>
        <w:jc w:val="center"/>
        <w:rPr>
          <w:b/>
          <w:sz w:val="28"/>
          <w:szCs w:val="28"/>
          <w:lang w:val="en-US"/>
        </w:rPr>
      </w:pPr>
      <w:r w:rsidRPr="0096313C">
        <w:rPr>
          <w:b/>
          <w:sz w:val="28"/>
          <w:szCs w:val="28"/>
          <w:lang w:val="en-US"/>
        </w:rPr>
        <w:t>In spite of financial crisis, European healthcare keeps improving – but the equity gap widens</w:t>
      </w:r>
    </w:p>
    <w:p w:rsidR="009D1F91" w:rsidRPr="0096313C" w:rsidRDefault="009D1F91" w:rsidP="009D1F91">
      <w:pPr>
        <w:jc w:val="center"/>
        <w:rPr>
          <w:b/>
          <w:sz w:val="28"/>
          <w:szCs w:val="28"/>
          <w:lang w:val="en-US"/>
        </w:rPr>
      </w:pPr>
      <w:r w:rsidRPr="0096313C">
        <w:rPr>
          <w:b/>
          <w:sz w:val="28"/>
          <w:szCs w:val="28"/>
          <w:lang w:val="en-US"/>
        </w:rPr>
        <w:t xml:space="preserve">The Netherland </w:t>
      </w:r>
      <w:r w:rsidRPr="00763ECC">
        <w:rPr>
          <w:b/>
          <w:sz w:val="28"/>
          <w:szCs w:val="28"/>
          <w:lang w:val="en-US"/>
        </w:rPr>
        <w:t xml:space="preserve">stays </w:t>
      </w:r>
      <w:r w:rsidR="0081238C" w:rsidRPr="00763ECC">
        <w:rPr>
          <w:b/>
          <w:sz w:val="28"/>
          <w:szCs w:val="28"/>
          <w:lang w:val="en-US"/>
        </w:rPr>
        <w:t>o</w:t>
      </w:r>
      <w:r w:rsidRPr="00763ECC">
        <w:rPr>
          <w:b/>
          <w:sz w:val="28"/>
          <w:szCs w:val="28"/>
          <w:lang w:val="en-US"/>
        </w:rPr>
        <w:t>n top, with many</w:t>
      </w:r>
      <w:r w:rsidRPr="0096313C">
        <w:rPr>
          <w:b/>
          <w:sz w:val="28"/>
          <w:szCs w:val="28"/>
          <w:lang w:val="en-US"/>
        </w:rPr>
        <w:t xml:space="preserve"> surprising moves among the 36 ranked countries</w:t>
      </w:r>
    </w:p>
    <w:p w:rsidR="009D1F91" w:rsidRPr="00763ECC" w:rsidRDefault="009D1F91" w:rsidP="009D1F91">
      <w:pPr>
        <w:pStyle w:val="Brdtext"/>
        <w:rPr>
          <w:rFonts w:ascii="Times New Roman" w:hAnsi="Times New Roman" w:cs="Times New Roman"/>
          <w:b/>
          <w:color w:val="auto"/>
          <w:sz w:val="24"/>
        </w:rPr>
      </w:pPr>
      <w:r w:rsidRPr="009D1F91">
        <w:rPr>
          <w:rFonts w:ascii="Times New Roman" w:hAnsi="Times New Roman" w:cs="Times New Roman"/>
          <w:b/>
          <w:sz w:val="32"/>
          <w:szCs w:val="32"/>
        </w:rPr>
        <w:t>I</w:t>
      </w:r>
      <w:r w:rsidRPr="009D1F91">
        <w:rPr>
          <w:rFonts w:ascii="Times New Roman" w:hAnsi="Times New Roman" w:cs="Times New Roman"/>
          <w:b/>
          <w:sz w:val="24"/>
        </w:rPr>
        <w:t>n spite of financial crisis-induced austerity measures, such as restrictions on the increase of healthcare spend, European healthcare keeps producing better results. Survival rates of heart disease, stroke and cancer are all increasing, even though there is much talk about worsening lifestyle factors such as obesity, junk food consumption and sedentary life. I</w:t>
      </w:r>
      <w:r>
        <w:rPr>
          <w:rFonts w:ascii="Times New Roman" w:hAnsi="Times New Roman" w:cs="Times New Roman"/>
          <w:b/>
          <w:sz w:val="24"/>
        </w:rPr>
        <w:t xml:space="preserve">nfant mortality </w:t>
      </w:r>
      <w:r w:rsidRPr="009D1F91">
        <w:rPr>
          <w:rFonts w:ascii="Times New Roman" w:hAnsi="Times New Roman" w:cs="Times New Roman"/>
          <w:b/>
          <w:sz w:val="24"/>
        </w:rPr>
        <w:t xml:space="preserve">also keeps going down, and this can be observed in countries such as the Baltic </w:t>
      </w:r>
      <w:proofErr w:type="gramStart"/>
      <w:r w:rsidRPr="009D1F91">
        <w:rPr>
          <w:rFonts w:ascii="Times New Roman" w:hAnsi="Times New Roman" w:cs="Times New Roman"/>
          <w:b/>
          <w:sz w:val="24"/>
        </w:rPr>
        <w:t>states</w:t>
      </w:r>
      <w:proofErr w:type="gramEnd"/>
      <w:r w:rsidRPr="009D1F91">
        <w:rPr>
          <w:rFonts w:ascii="Times New Roman" w:hAnsi="Times New Roman" w:cs="Times New Roman"/>
          <w:b/>
          <w:sz w:val="24"/>
        </w:rPr>
        <w:t>, which were severely affected by the financial crisis.</w:t>
      </w:r>
      <w:r>
        <w:rPr>
          <w:rFonts w:ascii="Times New Roman" w:hAnsi="Times New Roman" w:cs="Times New Roman"/>
          <w:b/>
          <w:sz w:val="24"/>
        </w:rPr>
        <w:t xml:space="preserve"> </w:t>
      </w:r>
      <w:r w:rsidRPr="00763ECC">
        <w:rPr>
          <w:rFonts w:ascii="Times New Roman" w:hAnsi="Times New Roman" w:cs="Times New Roman"/>
          <w:b/>
          <w:color w:val="auto"/>
          <w:sz w:val="24"/>
        </w:rPr>
        <w:t>But there are signs of growing gaps and inequalities. These are some important conclusions as the Euro Health Consumer Index (EHCI) 2014 was published today in Brussels</w:t>
      </w:r>
      <w:r w:rsidR="001B094D" w:rsidRPr="00763ECC">
        <w:rPr>
          <w:rFonts w:ascii="Times New Roman" w:hAnsi="Times New Roman" w:cs="Times New Roman"/>
          <w:b/>
          <w:color w:val="auto"/>
          <w:sz w:val="24"/>
        </w:rPr>
        <w:t xml:space="preserve"> in the presence of EU Health Commissioner Dr. </w:t>
      </w:r>
      <w:proofErr w:type="spellStart"/>
      <w:r w:rsidR="001B094D" w:rsidRPr="00763ECC">
        <w:rPr>
          <w:rFonts w:ascii="Times New Roman" w:hAnsi="Times New Roman" w:cs="Times New Roman"/>
          <w:b/>
          <w:color w:val="auto"/>
          <w:sz w:val="24"/>
        </w:rPr>
        <w:t>Vytenas</w:t>
      </w:r>
      <w:proofErr w:type="spellEnd"/>
      <w:r w:rsidR="001B094D" w:rsidRPr="00763ECC">
        <w:rPr>
          <w:rFonts w:ascii="Times New Roman" w:hAnsi="Times New Roman" w:cs="Times New Roman"/>
          <w:b/>
          <w:color w:val="auto"/>
          <w:sz w:val="24"/>
        </w:rPr>
        <w:t xml:space="preserve"> </w:t>
      </w:r>
      <w:proofErr w:type="spellStart"/>
      <w:r w:rsidR="001B094D" w:rsidRPr="00763ECC">
        <w:rPr>
          <w:rFonts w:ascii="Times New Roman" w:hAnsi="Times New Roman" w:cs="Times New Roman"/>
          <w:b/>
          <w:color w:val="auto"/>
          <w:sz w:val="24"/>
        </w:rPr>
        <w:t>Andriukaitis</w:t>
      </w:r>
      <w:proofErr w:type="spellEnd"/>
      <w:r w:rsidRPr="00763ECC">
        <w:rPr>
          <w:rFonts w:ascii="Times New Roman" w:hAnsi="Times New Roman" w:cs="Times New Roman"/>
          <w:b/>
          <w:color w:val="auto"/>
          <w:sz w:val="24"/>
        </w:rPr>
        <w:t xml:space="preserve">. EHCI is </w:t>
      </w:r>
      <w:r w:rsidR="0081238C" w:rsidRPr="00763ECC">
        <w:rPr>
          <w:rFonts w:ascii="Times New Roman" w:hAnsi="Times New Roman" w:cs="Times New Roman"/>
          <w:b/>
          <w:color w:val="auto"/>
          <w:sz w:val="24"/>
        </w:rPr>
        <w:t>the</w:t>
      </w:r>
      <w:r w:rsidRPr="00763ECC">
        <w:rPr>
          <w:rFonts w:ascii="Times New Roman" w:hAnsi="Times New Roman" w:cs="Times New Roman"/>
          <w:b/>
          <w:color w:val="auto"/>
          <w:sz w:val="24"/>
        </w:rPr>
        <w:t xml:space="preserve"> annual, independent ranking of healthcare in 36 countries.</w:t>
      </w:r>
    </w:p>
    <w:p w:rsidR="009D1F91" w:rsidRDefault="009D1F91" w:rsidP="009D1F91">
      <w:pPr>
        <w:pStyle w:val="Brdtext"/>
        <w:rPr>
          <w:rFonts w:ascii="Times New Roman" w:hAnsi="Times New Roman" w:cs="Times New Roman"/>
          <w:sz w:val="24"/>
        </w:rPr>
      </w:pPr>
      <w:r w:rsidRPr="004B6C36">
        <w:rPr>
          <w:rFonts w:ascii="Times New Roman" w:hAnsi="Times New Roman" w:cs="Times New Roman"/>
          <w:b/>
          <w:sz w:val="32"/>
          <w:szCs w:val="32"/>
        </w:rPr>
        <w:t>W</w:t>
      </w:r>
      <w:r w:rsidRPr="00313E38">
        <w:rPr>
          <w:rFonts w:ascii="Times New Roman" w:hAnsi="Times New Roman" w:cs="Times New Roman"/>
          <w:sz w:val="24"/>
        </w:rPr>
        <w:t>hat is less encouraging is that the tendency of an increasing equity gap between wealthy and less wealthy European countries noted in the EHCI 2013 shows with increased clarity in the 2014 edition. A</w:t>
      </w:r>
      <w:r>
        <w:rPr>
          <w:rFonts w:ascii="Times New Roman" w:hAnsi="Times New Roman" w:cs="Times New Roman"/>
          <w:sz w:val="24"/>
        </w:rPr>
        <w:t xml:space="preserve"> record of nine</w:t>
      </w:r>
      <w:r w:rsidRPr="00313E38">
        <w:rPr>
          <w:rFonts w:ascii="Times New Roman" w:hAnsi="Times New Roman" w:cs="Times New Roman"/>
          <w:sz w:val="24"/>
        </w:rPr>
        <w:t xml:space="preserve"> coun</w:t>
      </w:r>
      <w:r>
        <w:rPr>
          <w:rFonts w:ascii="Times New Roman" w:hAnsi="Times New Roman" w:cs="Times New Roman"/>
          <w:sz w:val="24"/>
        </w:rPr>
        <w:t xml:space="preserve">tries, all Western European, </w:t>
      </w:r>
      <w:r w:rsidR="0081238C">
        <w:rPr>
          <w:rFonts w:ascii="Times New Roman" w:hAnsi="Times New Roman" w:cs="Times New Roman"/>
          <w:color w:val="00B0F0"/>
          <w:sz w:val="24"/>
        </w:rPr>
        <w:t>are</w:t>
      </w:r>
      <w:r w:rsidRPr="00313E38">
        <w:rPr>
          <w:rFonts w:ascii="Times New Roman" w:hAnsi="Times New Roman" w:cs="Times New Roman"/>
          <w:sz w:val="24"/>
        </w:rPr>
        <w:t xml:space="preserve"> scoring above 800 points of the maximum 1000. These are followed at some little distance by three more affluent countries (Austria, France and Sweden) “not quite making it” for different reasons. After those, there is a clearly visible gap to the next group of countries, where the first CEE and Mediterranean countries start appearing. This stratification is clearer in the EHCI 2014 than in any previous edition.</w:t>
      </w:r>
    </w:p>
    <w:p w:rsidR="009D1F91" w:rsidRDefault="009D1F91" w:rsidP="009D1F91">
      <w:pPr>
        <w:pStyle w:val="Brdtext"/>
        <w:rPr>
          <w:rFonts w:ascii="Times New Roman" w:hAnsi="Times New Roman" w:cs="Times New Roman"/>
          <w:sz w:val="24"/>
        </w:rPr>
      </w:pPr>
      <w:r w:rsidRPr="00F30DD5">
        <w:rPr>
          <w:rFonts w:ascii="Times New Roman" w:hAnsi="Times New Roman" w:cs="Times New Roman"/>
          <w:noProof/>
          <w:sz w:val="24"/>
          <w:lang w:val="sv-SE" w:eastAsia="sv-SE"/>
        </w:rPr>
        <w:drawing>
          <wp:inline distT="0" distB="0" distL="0" distR="0">
            <wp:extent cx="5078951" cy="3522011"/>
            <wp:effectExtent l="19050" t="0" r="7399" b="0"/>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083800" cy="3525373"/>
                    </a:xfrm>
                    <a:prstGeom prst="rect">
                      <a:avLst/>
                    </a:prstGeom>
                  </pic:spPr>
                </pic:pic>
              </a:graphicData>
            </a:graphic>
          </wp:inline>
        </w:drawing>
      </w:r>
    </w:p>
    <w:p w:rsidR="009D1F91" w:rsidRPr="00211599" w:rsidRDefault="009D1F91" w:rsidP="009D1F91">
      <w:pPr>
        <w:pStyle w:val="Brdtext"/>
        <w:rPr>
          <w:rFonts w:ascii="Times New Roman" w:hAnsi="Times New Roman" w:cs="Times New Roman"/>
          <w:b/>
          <w:sz w:val="24"/>
        </w:rPr>
      </w:pPr>
      <w:r w:rsidRPr="00211599">
        <w:rPr>
          <w:rFonts w:ascii="Times New Roman" w:hAnsi="Times New Roman" w:cs="Times New Roman"/>
          <w:b/>
          <w:sz w:val="24"/>
        </w:rPr>
        <w:t>The ranking</w:t>
      </w:r>
    </w:p>
    <w:p w:rsidR="009D1F91" w:rsidRPr="00CB4BC8" w:rsidRDefault="009D1F91" w:rsidP="009D1F91">
      <w:pPr>
        <w:pStyle w:val="Brdtext"/>
        <w:rPr>
          <w:rFonts w:ascii="Times New Roman" w:hAnsi="Times New Roman" w:cs="Times New Roman"/>
          <w:color w:val="auto"/>
          <w:sz w:val="24"/>
        </w:rPr>
      </w:pPr>
      <w:r w:rsidRPr="004B6C36">
        <w:rPr>
          <w:rFonts w:ascii="Times New Roman" w:hAnsi="Times New Roman" w:cs="Times New Roman"/>
          <w:b/>
          <w:color w:val="auto"/>
          <w:sz w:val="28"/>
          <w:szCs w:val="28"/>
        </w:rPr>
        <w:t>T</w:t>
      </w:r>
      <w:r w:rsidRPr="00CB4BC8">
        <w:rPr>
          <w:rFonts w:ascii="Times New Roman" w:hAnsi="Times New Roman" w:cs="Times New Roman"/>
          <w:color w:val="auto"/>
          <w:sz w:val="24"/>
        </w:rPr>
        <w:t>he EHCI 2014 tota</w:t>
      </w:r>
      <w:r>
        <w:rPr>
          <w:rFonts w:ascii="Times New Roman" w:hAnsi="Times New Roman" w:cs="Times New Roman"/>
          <w:color w:val="auto"/>
          <w:sz w:val="24"/>
        </w:rPr>
        <w:t xml:space="preserve">l ranking </w:t>
      </w:r>
      <w:r w:rsidRPr="00CB4BC8">
        <w:rPr>
          <w:rFonts w:ascii="Times New Roman" w:hAnsi="Times New Roman" w:cs="Times New Roman"/>
          <w:color w:val="auto"/>
          <w:sz w:val="24"/>
        </w:rPr>
        <w:t xml:space="preserve">shows The Netherlands again widening the gap to country #2 from 19 points in 2013 to 43 points in 2014, (in 2012, the margin was 50 points), scoring 898 </w:t>
      </w:r>
      <w:r w:rsidRPr="00CB4BC8">
        <w:rPr>
          <w:rFonts w:ascii="Times New Roman" w:hAnsi="Times New Roman" w:cs="Times New Roman"/>
          <w:color w:val="auto"/>
          <w:sz w:val="24"/>
        </w:rPr>
        <w:lastRenderedPageBreak/>
        <w:t xml:space="preserve">points out of 1000, an EHCI all time high. Beginning from Switzerland (855 points) down, the EHCI 2014 shows competition at the top getting much harder. </w:t>
      </w:r>
    </w:p>
    <w:p w:rsidR="009D1F91" w:rsidRPr="00F42277" w:rsidRDefault="009D1F91" w:rsidP="009D1F91">
      <w:pPr>
        <w:pStyle w:val="Brdtext"/>
        <w:rPr>
          <w:rFonts w:ascii="Times New Roman" w:hAnsi="Times New Roman" w:cs="Times New Roman"/>
          <w:color w:val="auto"/>
          <w:sz w:val="24"/>
        </w:rPr>
      </w:pPr>
      <w:r w:rsidRPr="004B6C36">
        <w:rPr>
          <w:rFonts w:ascii="Times New Roman" w:hAnsi="Times New Roman" w:cs="Times New Roman"/>
          <w:b/>
          <w:color w:val="auto"/>
          <w:sz w:val="32"/>
          <w:szCs w:val="32"/>
        </w:rPr>
        <w:t>B</w:t>
      </w:r>
      <w:r w:rsidRPr="00F42277">
        <w:rPr>
          <w:rFonts w:ascii="Times New Roman" w:hAnsi="Times New Roman" w:cs="Times New Roman"/>
          <w:color w:val="auto"/>
          <w:sz w:val="24"/>
        </w:rPr>
        <w:t xml:space="preserve">ronze medallists are Norway at 851 points; the very high </w:t>
      </w:r>
      <w:r w:rsidRPr="00F42277">
        <w:rPr>
          <w:rFonts w:ascii="Times New Roman" w:hAnsi="Times New Roman" w:cs="Times New Roman"/>
          <w:i/>
          <w:color w:val="auto"/>
          <w:sz w:val="24"/>
        </w:rPr>
        <w:t>per capita</w:t>
      </w:r>
      <w:r w:rsidRPr="00F42277">
        <w:rPr>
          <w:rFonts w:ascii="Times New Roman" w:hAnsi="Times New Roman" w:cs="Times New Roman"/>
          <w:color w:val="auto"/>
          <w:sz w:val="24"/>
        </w:rPr>
        <w:t xml:space="preserve"> spend on healthcare services finally paying off! Finland (4</w:t>
      </w:r>
      <w:r w:rsidRPr="00F42277">
        <w:rPr>
          <w:rFonts w:ascii="Times New Roman" w:hAnsi="Times New Roman" w:cs="Times New Roman"/>
          <w:color w:val="auto"/>
          <w:sz w:val="24"/>
          <w:vertAlign w:val="superscript"/>
        </w:rPr>
        <w:t>th</w:t>
      </w:r>
      <w:r w:rsidRPr="00F42277">
        <w:rPr>
          <w:rFonts w:ascii="Times New Roman" w:hAnsi="Times New Roman" w:cs="Times New Roman"/>
          <w:color w:val="auto"/>
          <w:sz w:val="24"/>
        </w:rPr>
        <w:t>, 846 points) has made a remarkable advance, and seems to have rectified its traditional waiting time problems! Denmark (5</w:t>
      </w:r>
      <w:r w:rsidRPr="00F42277">
        <w:rPr>
          <w:rFonts w:ascii="Times New Roman" w:hAnsi="Times New Roman" w:cs="Times New Roman"/>
          <w:color w:val="auto"/>
          <w:sz w:val="24"/>
          <w:vertAlign w:val="superscript"/>
        </w:rPr>
        <w:t>th</w:t>
      </w:r>
      <w:r w:rsidRPr="00F42277">
        <w:rPr>
          <w:rFonts w:ascii="Times New Roman" w:hAnsi="Times New Roman" w:cs="Times New Roman"/>
          <w:color w:val="auto"/>
          <w:sz w:val="24"/>
        </w:rPr>
        <w:t xml:space="preserve">, 836 points) has shown a continuous rise since the start of the comparisons. </w:t>
      </w:r>
    </w:p>
    <w:p w:rsidR="009D1F91" w:rsidRDefault="009D1F91" w:rsidP="0081238C">
      <w:pPr>
        <w:pStyle w:val="Brdtext"/>
        <w:spacing w:after="240"/>
        <w:rPr>
          <w:rFonts w:ascii="Times New Roman" w:hAnsi="Times New Roman" w:cs="Times New Roman"/>
          <w:color w:val="auto"/>
          <w:sz w:val="24"/>
        </w:rPr>
      </w:pPr>
      <w:r w:rsidRPr="004B6C36">
        <w:rPr>
          <w:rFonts w:ascii="Times New Roman" w:hAnsi="Times New Roman" w:cs="Times New Roman"/>
          <w:b/>
          <w:color w:val="auto"/>
          <w:sz w:val="32"/>
          <w:szCs w:val="32"/>
        </w:rPr>
        <w:t>S</w:t>
      </w:r>
      <w:r w:rsidRPr="00FD2CE6">
        <w:rPr>
          <w:rFonts w:ascii="Times New Roman" w:hAnsi="Times New Roman" w:cs="Times New Roman"/>
          <w:color w:val="auto"/>
          <w:sz w:val="24"/>
        </w:rPr>
        <w:t>ome eastern European EU member systems are doing surprisingly well, particularly the Czech Republic and Estonia, considering their much smaller healthcare spend in Purchasing Power Parity (PPP) adjusted dollars per capita. The FYR Macedonia is making the most remarkable advance in the EHCI scoring of any country in the history of the Index, from 27</w:t>
      </w:r>
      <w:r w:rsidRPr="00FD2CE6">
        <w:rPr>
          <w:rFonts w:ascii="Times New Roman" w:hAnsi="Times New Roman" w:cs="Times New Roman"/>
          <w:color w:val="auto"/>
          <w:sz w:val="24"/>
          <w:vertAlign w:val="superscript"/>
        </w:rPr>
        <w:t>th</w:t>
      </w:r>
      <w:r w:rsidRPr="00FD2CE6">
        <w:rPr>
          <w:rFonts w:ascii="Times New Roman" w:hAnsi="Times New Roman" w:cs="Times New Roman"/>
          <w:color w:val="auto"/>
          <w:sz w:val="24"/>
        </w:rPr>
        <w:t xml:space="preserve"> to 16</w:t>
      </w:r>
      <w:r w:rsidRPr="00FD2CE6">
        <w:rPr>
          <w:rFonts w:ascii="Times New Roman" w:hAnsi="Times New Roman" w:cs="Times New Roman"/>
          <w:color w:val="auto"/>
          <w:sz w:val="24"/>
          <w:vertAlign w:val="superscript"/>
        </w:rPr>
        <w:t>th</w:t>
      </w:r>
      <w:r w:rsidRPr="00FD2CE6">
        <w:rPr>
          <w:rFonts w:ascii="Times New Roman" w:hAnsi="Times New Roman" w:cs="Times New Roman"/>
          <w:color w:val="auto"/>
          <w:sz w:val="24"/>
        </w:rPr>
        <w:t xml:space="preserve"> place, largely due to more or less eliminating waiting lists by implementing their real time e-Booking system!</w:t>
      </w:r>
    </w:p>
    <w:p w:rsidR="009D1F91" w:rsidRPr="006F1C11" w:rsidRDefault="009D1F91" w:rsidP="009D1F91">
      <w:pPr>
        <w:pStyle w:val="Brdtext"/>
        <w:rPr>
          <w:rFonts w:ascii="Times New Roman" w:hAnsi="Times New Roman" w:cs="Times New Roman"/>
          <w:b/>
          <w:color w:val="auto"/>
          <w:sz w:val="24"/>
        </w:rPr>
      </w:pPr>
      <w:r w:rsidRPr="006F1C11">
        <w:rPr>
          <w:rFonts w:ascii="Times New Roman" w:hAnsi="Times New Roman" w:cs="Times New Roman"/>
          <w:b/>
          <w:color w:val="auto"/>
          <w:sz w:val="24"/>
        </w:rPr>
        <w:t>Some key conclusions</w:t>
      </w:r>
    </w:p>
    <w:p w:rsidR="009D1F91" w:rsidRDefault="009D1F91" w:rsidP="009D1F91">
      <w:pPr>
        <w:pStyle w:val="Brdtext"/>
        <w:rPr>
          <w:rFonts w:ascii="Times New Roman" w:hAnsi="Times New Roman" w:cs="Times New Roman"/>
          <w:sz w:val="24"/>
        </w:rPr>
      </w:pPr>
      <w:r w:rsidRPr="004B6C36">
        <w:rPr>
          <w:rFonts w:ascii="Times New Roman" w:hAnsi="Times New Roman" w:cs="Times New Roman"/>
          <w:b/>
          <w:color w:val="auto"/>
          <w:sz w:val="32"/>
          <w:szCs w:val="32"/>
        </w:rPr>
        <w:t>C</w:t>
      </w:r>
      <w:r w:rsidRPr="00FD2CE6">
        <w:rPr>
          <w:rFonts w:ascii="Times New Roman" w:hAnsi="Times New Roman" w:cs="Times New Roman"/>
          <w:color w:val="auto"/>
          <w:sz w:val="24"/>
        </w:rPr>
        <w:t>onsumer and patient rights are improving. In a growing number of European countries there is healthcare legislation explicitly based on patient rights and a functional access to your own medical record is becoming standard. Hospital/clinic catalogues with quality ranking used to be confined to two – three countries for years; the 2014 number of nine countries hopefully is a sign that something is happening in this area</w:t>
      </w:r>
      <w:r>
        <w:rPr>
          <w:rFonts w:ascii="Times New Roman" w:hAnsi="Times New Roman" w:cs="Times New Roman"/>
          <w:color w:val="auto"/>
          <w:sz w:val="24"/>
        </w:rPr>
        <w:t>, supporting active consumer choice</w:t>
      </w:r>
      <w:r w:rsidRPr="00FD2CE6">
        <w:rPr>
          <w:rFonts w:ascii="Times New Roman" w:hAnsi="Times New Roman" w:cs="Times New Roman"/>
          <w:color w:val="auto"/>
          <w:sz w:val="24"/>
        </w:rPr>
        <w:t xml:space="preserve">. Medical travel supported by the new </w:t>
      </w:r>
      <w:r>
        <w:rPr>
          <w:rFonts w:ascii="Times New Roman" w:hAnsi="Times New Roman" w:cs="Times New Roman"/>
          <w:color w:val="auto"/>
          <w:sz w:val="24"/>
        </w:rPr>
        <w:t xml:space="preserve">EU </w:t>
      </w:r>
      <w:r w:rsidRPr="00FD2CE6">
        <w:rPr>
          <w:rFonts w:ascii="Times New Roman" w:hAnsi="Times New Roman" w:cs="Times New Roman"/>
          <w:color w:val="auto"/>
          <w:sz w:val="24"/>
        </w:rPr>
        <w:t>patient mobility directive can accelerate the demand for performance transparency.</w:t>
      </w:r>
    </w:p>
    <w:p w:rsidR="009D1F91" w:rsidRPr="006F1C11" w:rsidRDefault="009D1F91" w:rsidP="009D1F91">
      <w:pPr>
        <w:pStyle w:val="Brdtext"/>
        <w:numPr>
          <w:ilvl w:val="0"/>
          <w:numId w:val="2"/>
        </w:numPr>
        <w:rPr>
          <w:rFonts w:ascii="Times New Roman" w:hAnsi="Times New Roman" w:cs="Times New Roman"/>
          <w:sz w:val="24"/>
        </w:rPr>
      </w:pPr>
      <w:r w:rsidRPr="006F1C11">
        <w:rPr>
          <w:rFonts w:ascii="Times New Roman" w:hAnsi="Times New Roman" w:cs="Times New Roman"/>
          <w:sz w:val="24"/>
        </w:rPr>
        <w:t xml:space="preserve">The financial crisis has resulted in a slight but noticeable increase of </w:t>
      </w:r>
      <w:r w:rsidRPr="006F1C11">
        <w:rPr>
          <w:rFonts w:ascii="Times New Roman" w:hAnsi="Times New Roman" w:cs="Times New Roman"/>
          <w:i/>
          <w:sz w:val="24"/>
        </w:rPr>
        <w:t>inequity</w:t>
      </w:r>
      <w:r w:rsidRPr="006F1C11">
        <w:rPr>
          <w:rFonts w:ascii="Times New Roman" w:hAnsi="Times New Roman" w:cs="Times New Roman"/>
          <w:sz w:val="24"/>
        </w:rPr>
        <w:t xml:space="preserve"> of healthcare services across Europe</w:t>
      </w:r>
    </w:p>
    <w:p w:rsidR="009D1F91" w:rsidRPr="00763ECC" w:rsidRDefault="009D1F91" w:rsidP="009D1F91">
      <w:pPr>
        <w:pStyle w:val="Brdtext"/>
        <w:numPr>
          <w:ilvl w:val="0"/>
          <w:numId w:val="2"/>
        </w:numPr>
        <w:rPr>
          <w:rFonts w:ascii="Times New Roman" w:hAnsi="Times New Roman" w:cs="Times New Roman"/>
          <w:color w:val="auto"/>
          <w:sz w:val="24"/>
        </w:rPr>
      </w:pPr>
      <w:r w:rsidRPr="006F1C11">
        <w:rPr>
          <w:rFonts w:ascii="Times New Roman" w:hAnsi="Times New Roman" w:cs="Times New Roman"/>
          <w:sz w:val="24"/>
        </w:rPr>
        <w:t xml:space="preserve">There is a </w:t>
      </w:r>
      <w:r w:rsidRPr="00763ECC">
        <w:rPr>
          <w:rFonts w:ascii="Times New Roman" w:hAnsi="Times New Roman" w:cs="Times New Roman"/>
          <w:color w:val="auto"/>
          <w:sz w:val="24"/>
        </w:rPr>
        <w:t>widening performance gap between wealthy and poor European countries</w:t>
      </w:r>
    </w:p>
    <w:p w:rsidR="009D1F91" w:rsidRPr="00763ECC" w:rsidRDefault="009D1F91" w:rsidP="009D1F91">
      <w:pPr>
        <w:pStyle w:val="Rubrik3"/>
        <w:numPr>
          <w:ilvl w:val="0"/>
          <w:numId w:val="2"/>
        </w:numPr>
        <w:spacing w:before="240"/>
        <w:rPr>
          <w:rFonts w:ascii="Times New Roman" w:hAnsi="Times New Roman" w:cs="Times New Roman"/>
          <w:b w:val="0"/>
          <w:color w:val="auto"/>
          <w:sz w:val="24"/>
        </w:rPr>
      </w:pPr>
      <w:r w:rsidRPr="00763ECC">
        <w:rPr>
          <w:rFonts w:ascii="Times New Roman" w:hAnsi="Times New Roman" w:cs="Times New Roman"/>
          <w:b w:val="0"/>
          <w:color w:val="auto"/>
          <w:sz w:val="24"/>
        </w:rPr>
        <w:t xml:space="preserve">Overall, </w:t>
      </w:r>
      <w:r w:rsidR="0081238C" w:rsidRPr="00763ECC">
        <w:rPr>
          <w:rFonts w:ascii="Times New Roman" w:hAnsi="Times New Roman" w:cs="Times New Roman"/>
          <w:b w:val="0"/>
          <w:color w:val="auto"/>
          <w:sz w:val="24"/>
        </w:rPr>
        <w:t>medical treatment results keep</w:t>
      </w:r>
      <w:bookmarkStart w:id="0" w:name="_GoBack"/>
      <w:bookmarkEnd w:id="0"/>
      <w:r w:rsidRPr="00763ECC">
        <w:rPr>
          <w:rFonts w:ascii="Times New Roman" w:hAnsi="Times New Roman" w:cs="Times New Roman"/>
          <w:b w:val="0"/>
          <w:color w:val="auto"/>
          <w:sz w:val="24"/>
        </w:rPr>
        <w:t xml:space="preserve"> improving</w:t>
      </w:r>
    </w:p>
    <w:p w:rsidR="009D1F91" w:rsidRPr="006F1C11" w:rsidRDefault="009D1F91" w:rsidP="009D1F91">
      <w:pPr>
        <w:pStyle w:val="Rubrik3"/>
        <w:numPr>
          <w:ilvl w:val="0"/>
          <w:numId w:val="2"/>
        </w:numPr>
        <w:spacing w:before="240"/>
        <w:rPr>
          <w:rFonts w:ascii="Times New Roman" w:hAnsi="Times New Roman" w:cs="Times New Roman"/>
          <w:b w:val="0"/>
          <w:sz w:val="24"/>
        </w:rPr>
      </w:pPr>
      <w:r w:rsidRPr="00763ECC">
        <w:rPr>
          <w:rFonts w:ascii="Times New Roman" w:hAnsi="Times New Roman" w:cs="Times New Roman"/>
          <w:b w:val="0"/>
          <w:color w:val="auto"/>
          <w:sz w:val="24"/>
        </w:rPr>
        <w:t>Delays and/or restrictiveness have been common on the introduction of novel pharmaceuticals</w:t>
      </w:r>
      <w:r>
        <w:rPr>
          <w:rFonts w:ascii="Times New Roman" w:hAnsi="Times New Roman" w:cs="Times New Roman"/>
          <w:b w:val="0"/>
          <w:sz w:val="24"/>
        </w:rPr>
        <w:t>.</w:t>
      </w:r>
    </w:p>
    <w:p w:rsidR="009D1F91" w:rsidRPr="00F30DD5" w:rsidRDefault="009D1F91" w:rsidP="009D1F91">
      <w:pPr>
        <w:pStyle w:val="Brdtext"/>
        <w:rPr>
          <w:rFonts w:ascii="Times New Roman" w:hAnsi="Times New Roman" w:cs="Times New Roman"/>
          <w:b/>
          <w:sz w:val="24"/>
        </w:rPr>
      </w:pPr>
    </w:p>
    <w:p w:rsidR="009D1F91" w:rsidRPr="00F30DD5" w:rsidRDefault="009D1F91" w:rsidP="009D1F91">
      <w:pPr>
        <w:pStyle w:val="Brdtext"/>
        <w:rPr>
          <w:rFonts w:ascii="Times New Roman" w:hAnsi="Times New Roman" w:cs="Times New Roman"/>
          <w:b/>
          <w:sz w:val="24"/>
        </w:rPr>
      </w:pPr>
      <w:r w:rsidRPr="00F30DD5">
        <w:rPr>
          <w:rFonts w:ascii="Times New Roman" w:hAnsi="Times New Roman" w:cs="Times New Roman"/>
          <w:b/>
          <w:sz w:val="24"/>
        </w:rPr>
        <w:t>About the EHCI</w:t>
      </w:r>
    </w:p>
    <w:p w:rsidR="009D1F91" w:rsidRDefault="009D1F91" w:rsidP="009D1F91">
      <w:pPr>
        <w:rPr>
          <w:szCs w:val="24"/>
          <w:lang w:val="en-US"/>
        </w:rPr>
      </w:pPr>
      <w:r w:rsidRPr="004B6C36">
        <w:rPr>
          <w:b/>
          <w:sz w:val="32"/>
          <w:szCs w:val="32"/>
          <w:lang w:val="en-US"/>
        </w:rPr>
        <w:t>T</w:t>
      </w:r>
      <w:r>
        <w:rPr>
          <w:szCs w:val="24"/>
          <w:lang w:val="en-US"/>
        </w:rPr>
        <w:t>he Euro Health Consumer Index (EHCI), the independent monitoring of healthcare in 36 countries, published its 8</w:t>
      </w:r>
      <w:r w:rsidRPr="004B638C">
        <w:rPr>
          <w:szCs w:val="24"/>
          <w:vertAlign w:val="superscript"/>
          <w:lang w:val="en-US"/>
        </w:rPr>
        <w:t>th</w:t>
      </w:r>
      <w:r>
        <w:rPr>
          <w:szCs w:val="24"/>
          <w:lang w:val="en-US"/>
        </w:rPr>
        <w:t xml:space="preserve"> edition January 27, 2015. Since 2006 this comparison of key values in healthcare, taking the patient and consumer point of view, has improved the understanding of European healthcare, empowered patients and helped addressing weaknesses. EHCI, and a wide range of disease-specific studies produced by the Health Consumer Powerhouse Ltd. (HCP) set standards for what could and should be achieved by modern, well-serving healthcare. The 50 Index productions are freely available at </w:t>
      </w:r>
      <w:hyperlink r:id="rId8" w:history="1">
        <w:r w:rsidRPr="003B3CAE">
          <w:rPr>
            <w:rStyle w:val="Hyperlnk"/>
            <w:szCs w:val="24"/>
            <w:lang w:val="en-US"/>
          </w:rPr>
          <w:t>www.healthpowerhouse.com</w:t>
        </w:r>
      </w:hyperlink>
      <w:r>
        <w:rPr>
          <w:szCs w:val="24"/>
          <w:lang w:val="en-US"/>
        </w:rPr>
        <w:t>.</w:t>
      </w:r>
    </w:p>
    <w:p w:rsidR="009D1F91" w:rsidRDefault="009D1F91" w:rsidP="009D1F91">
      <w:pPr>
        <w:rPr>
          <w:lang w:val="en-US"/>
        </w:rPr>
      </w:pPr>
      <w:r w:rsidRPr="004B6C36">
        <w:rPr>
          <w:b/>
          <w:sz w:val="32"/>
          <w:szCs w:val="32"/>
          <w:lang w:val="en-US"/>
        </w:rPr>
        <w:t>T</w:t>
      </w:r>
      <w:r>
        <w:rPr>
          <w:lang w:val="en-US"/>
        </w:rPr>
        <w:t xml:space="preserve">he EHCI 2014 has been supported by unrestricted grants from </w:t>
      </w:r>
      <w:proofErr w:type="spellStart"/>
      <w:r>
        <w:rPr>
          <w:lang w:val="en-US"/>
        </w:rPr>
        <w:t>Medicover</w:t>
      </w:r>
      <w:proofErr w:type="spellEnd"/>
      <w:r>
        <w:rPr>
          <w:lang w:val="en-US"/>
        </w:rPr>
        <w:t xml:space="preserve"> S.A., Belgium, and New Direction Foundation, Belgium. </w:t>
      </w:r>
    </w:p>
    <w:p w:rsidR="009D1F91" w:rsidRDefault="009D1F91" w:rsidP="00FD60C8">
      <w:pPr>
        <w:rPr>
          <w:lang w:val="en-US"/>
        </w:rPr>
      </w:pPr>
    </w:p>
    <w:sectPr w:rsidR="009D1F91" w:rsidSect="00A85D4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2E6" w:rsidRDefault="006752E6" w:rsidP="00313E38">
      <w:pPr>
        <w:spacing w:after="0"/>
      </w:pPr>
      <w:r>
        <w:separator/>
      </w:r>
    </w:p>
  </w:endnote>
  <w:endnote w:type="continuationSeparator" w:id="0">
    <w:p w:rsidR="006752E6" w:rsidRDefault="006752E6" w:rsidP="00313E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7224"/>
      <w:docPartObj>
        <w:docPartGallery w:val="Page Numbers (Bottom of Page)"/>
        <w:docPartUnique/>
      </w:docPartObj>
    </w:sdtPr>
    <w:sdtContent>
      <w:p w:rsidR="00920D0F" w:rsidRDefault="004E0613">
        <w:pPr>
          <w:pStyle w:val="Sidfot"/>
          <w:jc w:val="right"/>
        </w:pPr>
        <w:r>
          <w:fldChar w:fldCharType="begin"/>
        </w:r>
        <w:r w:rsidR="00933254">
          <w:instrText xml:space="preserve"> PAGE   \* MERGEFORMAT </w:instrText>
        </w:r>
        <w:r>
          <w:fldChar w:fldCharType="separate"/>
        </w:r>
        <w:r w:rsidR="00763ECC">
          <w:rPr>
            <w:noProof/>
          </w:rPr>
          <w:t>2</w:t>
        </w:r>
        <w:r>
          <w:rPr>
            <w:noProof/>
          </w:rPr>
          <w:fldChar w:fldCharType="end"/>
        </w:r>
      </w:p>
    </w:sdtContent>
  </w:sdt>
  <w:p w:rsidR="00920D0F" w:rsidRDefault="00920D0F">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2E6" w:rsidRDefault="006752E6" w:rsidP="00313E38">
      <w:pPr>
        <w:spacing w:after="0"/>
      </w:pPr>
      <w:r>
        <w:separator/>
      </w:r>
    </w:p>
  </w:footnote>
  <w:footnote w:type="continuationSeparator" w:id="0">
    <w:p w:rsidR="006752E6" w:rsidRDefault="006752E6" w:rsidP="00313E3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CD24624"/>
    <w:lvl w:ilvl="0">
      <w:start w:val="1"/>
      <w:numFmt w:val="decimal"/>
      <w:pStyle w:val="Rubrik1"/>
      <w:suff w:val="nothing"/>
      <w:lvlText w:val="%1."/>
      <w:lvlJc w:val="left"/>
      <w:pPr>
        <w:tabs>
          <w:tab w:val="num" w:pos="0"/>
        </w:tabs>
        <w:ind w:left="0" w:firstLine="0"/>
      </w:pPr>
    </w:lvl>
    <w:lvl w:ilvl="1">
      <w:start w:val="1"/>
      <w:numFmt w:val="decimal"/>
      <w:pStyle w:val="Rubrik2"/>
      <w:suff w:val="nothing"/>
      <w:lvlText w:val="%1.%2"/>
      <w:lvlJc w:val="left"/>
      <w:pPr>
        <w:tabs>
          <w:tab w:val="num" w:pos="0"/>
        </w:tabs>
        <w:ind w:left="0" w:firstLine="0"/>
      </w:pPr>
    </w:lvl>
    <w:lvl w:ilvl="2">
      <w:start w:val="1"/>
      <w:numFmt w:val="decimal"/>
      <w:pStyle w:val="Rubrik3"/>
      <w:suff w:val="nothing"/>
      <w:lvlText w:val="%1.%2.%3"/>
      <w:lvlJc w:val="left"/>
      <w:pPr>
        <w:tabs>
          <w:tab w:val="num" w:pos="568"/>
        </w:tabs>
        <w:ind w:left="568" w:firstLine="0"/>
      </w:pPr>
      <w:rPr>
        <w:lang w:val="en-GB"/>
      </w:rPr>
    </w:lvl>
    <w:lvl w:ilvl="3">
      <w:start w:val="1"/>
      <w:numFmt w:val="decimal"/>
      <w:pStyle w:val="Rubrik4"/>
      <w:suff w:val="nothing"/>
      <w:lvlText w:val="%1.%2.%3.%4"/>
      <w:lvlJc w:val="left"/>
      <w:pPr>
        <w:tabs>
          <w:tab w:val="num" w:pos="360"/>
        </w:tabs>
        <w:ind w:left="360" w:firstLine="0"/>
      </w:pPr>
    </w:lvl>
    <w:lvl w:ilvl="4">
      <w:start w:val="1"/>
      <w:numFmt w:val="decimal"/>
      <w:pStyle w:val="Rubrik5"/>
      <w:suff w:val="nothing"/>
      <w:lvlText w:val="%1.%2.%3.%4.%5"/>
      <w:lvlJc w:val="left"/>
      <w:pPr>
        <w:tabs>
          <w:tab w:val="num" w:pos="0"/>
        </w:tabs>
        <w:ind w:left="0" w:firstLine="0"/>
      </w:pPr>
    </w:lvl>
    <w:lvl w:ilvl="5">
      <w:start w:val="1"/>
      <w:numFmt w:val="decimal"/>
      <w:pStyle w:val="Rubrik6"/>
      <w:suff w:val="nothing"/>
      <w:lvlText w:val="%1.%2.%3.%4.%5.%6"/>
      <w:lvlJc w:val="left"/>
      <w:pPr>
        <w:tabs>
          <w:tab w:val="num" w:pos="0"/>
        </w:tabs>
        <w:ind w:left="0" w:firstLine="0"/>
      </w:pPr>
    </w:lvl>
    <w:lvl w:ilvl="6">
      <w:start w:val="1"/>
      <w:numFmt w:val="decimal"/>
      <w:pStyle w:val="Rubrik7"/>
      <w:suff w:val="nothing"/>
      <w:lvlText w:val="%1.%2.%3.%4.%5.%6.%7"/>
      <w:lvlJc w:val="left"/>
      <w:pPr>
        <w:tabs>
          <w:tab w:val="num" w:pos="0"/>
        </w:tabs>
        <w:ind w:left="0" w:firstLine="0"/>
      </w:pPr>
    </w:lvl>
    <w:lvl w:ilvl="7">
      <w:start w:val="1"/>
      <w:numFmt w:val="decimal"/>
      <w:pStyle w:val="Rubrik8"/>
      <w:suff w:val="nothing"/>
      <w:lvlText w:val="%1.%2.%3.%4.%5.%6.%7.%8"/>
      <w:lvlJc w:val="left"/>
      <w:pPr>
        <w:tabs>
          <w:tab w:val="num" w:pos="0"/>
        </w:tabs>
        <w:ind w:left="0" w:firstLine="0"/>
      </w:pPr>
    </w:lvl>
    <w:lvl w:ilvl="8">
      <w:start w:val="1"/>
      <w:numFmt w:val="decimal"/>
      <w:pStyle w:val="Rubrik9"/>
      <w:suff w:val="nothing"/>
      <w:lvlText w:val="%1.%2.%3.%4.%5.%6.%7.%8.%9"/>
      <w:lvlJc w:val="left"/>
      <w:pPr>
        <w:tabs>
          <w:tab w:val="num" w:pos="0"/>
        </w:tabs>
        <w:ind w:left="0" w:firstLine="0"/>
      </w:pPr>
    </w:lvl>
  </w:abstractNum>
  <w:abstractNum w:abstractNumId="1">
    <w:nsid w:val="6552387F"/>
    <w:multiLevelType w:val="hybridMultilevel"/>
    <w:tmpl w:val="4C2A4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D60346"/>
    <w:rsid w:val="00006D2E"/>
    <w:rsid w:val="00021905"/>
    <w:rsid w:val="00041A9D"/>
    <w:rsid w:val="00053C4C"/>
    <w:rsid w:val="000569E1"/>
    <w:rsid w:val="00056EF0"/>
    <w:rsid w:val="00063411"/>
    <w:rsid w:val="00075EFC"/>
    <w:rsid w:val="00092DFE"/>
    <w:rsid w:val="0009798A"/>
    <w:rsid w:val="00097F2A"/>
    <w:rsid w:val="000A1D13"/>
    <w:rsid w:val="000A1E51"/>
    <w:rsid w:val="000C53FD"/>
    <w:rsid w:val="000D1E89"/>
    <w:rsid w:val="000D6696"/>
    <w:rsid w:val="000E2CCD"/>
    <w:rsid w:val="00115427"/>
    <w:rsid w:val="0012168E"/>
    <w:rsid w:val="00140D84"/>
    <w:rsid w:val="00152E5D"/>
    <w:rsid w:val="0015398A"/>
    <w:rsid w:val="001572BA"/>
    <w:rsid w:val="00162DE1"/>
    <w:rsid w:val="001728B4"/>
    <w:rsid w:val="001760ED"/>
    <w:rsid w:val="001827D7"/>
    <w:rsid w:val="001A791E"/>
    <w:rsid w:val="001B094D"/>
    <w:rsid w:val="001C0278"/>
    <w:rsid w:val="001C379C"/>
    <w:rsid w:val="001D063A"/>
    <w:rsid w:val="001F6FDB"/>
    <w:rsid w:val="00204E91"/>
    <w:rsid w:val="00211599"/>
    <w:rsid w:val="0025397A"/>
    <w:rsid w:val="002549D0"/>
    <w:rsid w:val="00254ED9"/>
    <w:rsid w:val="00255F82"/>
    <w:rsid w:val="00290A99"/>
    <w:rsid w:val="00295A68"/>
    <w:rsid w:val="002C484F"/>
    <w:rsid w:val="002C64BC"/>
    <w:rsid w:val="002D57C7"/>
    <w:rsid w:val="002F2066"/>
    <w:rsid w:val="002F70B9"/>
    <w:rsid w:val="00300EE4"/>
    <w:rsid w:val="00300F48"/>
    <w:rsid w:val="00307DFC"/>
    <w:rsid w:val="00313E38"/>
    <w:rsid w:val="003178B2"/>
    <w:rsid w:val="00341FB7"/>
    <w:rsid w:val="00377CE9"/>
    <w:rsid w:val="003A02AD"/>
    <w:rsid w:val="003D1297"/>
    <w:rsid w:val="003E1091"/>
    <w:rsid w:val="003F0507"/>
    <w:rsid w:val="00406350"/>
    <w:rsid w:val="0041594A"/>
    <w:rsid w:val="004238F3"/>
    <w:rsid w:val="004330FA"/>
    <w:rsid w:val="00447923"/>
    <w:rsid w:val="0048536C"/>
    <w:rsid w:val="004A0565"/>
    <w:rsid w:val="004B6C36"/>
    <w:rsid w:val="004D1D30"/>
    <w:rsid w:val="004E0613"/>
    <w:rsid w:val="004E6B29"/>
    <w:rsid w:val="00507929"/>
    <w:rsid w:val="00530FD8"/>
    <w:rsid w:val="00536593"/>
    <w:rsid w:val="00543EFF"/>
    <w:rsid w:val="005532FA"/>
    <w:rsid w:val="005732ED"/>
    <w:rsid w:val="00580CD8"/>
    <w:rsid w:val="00581F8B"/>
    <w:rsid w:val="005932DB"/>
    <w:rsid w:val="005B21AD"/>
    <w:rsid w:val="00603BD8"/>
    <w:rsid w:val="00622C5B"/>
    <w:rsid w:val="00630A1B"/>
    <w:rsid w:val="006346FF"/>
    <w:rsid w:val="00673A53"/>
    <w:rsid w:val="0067415E"/>
    <w:rsid w:val="006752E6"/>
    <w:rsid w:val="00683619"/>
    <w:rsid w:val="006844E6"/>
    <w:rsid w:val="006B2399"/>
    <w:rsid w:val="006C3BC7"/>
    <w:rsid w:val="006C4EA3"/>
    <w:rsid w:val="006C4FF4"/>
    <w:rsid w:val="006E2D43"/>
    <w:rsid w:val="006E7454"/>
    <w:rsid w:val="006F1C11"/>
    <w:rsid w:val="0070459E"/>
    <w:rsid w:val="00715D3E"/>
    <w:rsid w:val="007412B2"/>
    <w:rsid w:val="0074234E"/>
    <w:rsid w:val="00752C81"/>
    <w:rsid w:val="00754284"/>
    <w:rsid w:val="00763ECC"/>
    <w:rsid w:val="007845CD"/>
    <w:rsid w:val="007A239A"/>
    <w:rsid w:val="007C600B"/>
    <w:rsid w:val="007D2223"/>
    <w:rsid w:val="007E3C22"/>
    <w:rsid w:val="007F619F"/>
    <w:rsid w:val="00802D29"/>
    <w:rsid w:val="00811937"/>
    <w:rsid w:val="00811C56"/>
    <w:rsid w:val="0081238C"/>
    <w:rsid w:val="00853822"/>
    <w:rsid w:val="00897967"/>
    <w:rsid w:val="008B25DC"/>
    <w:rsid w:val="008D7395"/>
    <w:rsid w:val="008E276C"/>
    <w:rsid w:val="008E7F11"/>
    <w:rsid w:val="00920D0F"/>
    <w:rsid w:val="009236F7"/>
    <w:rsid w:val="00930E4C"/>
    <w:rsid w:val="00933254"/>
    <w:rsid w:val="00940E07"/>
    <w:rsid w:val="00953BE6"/>
    <w:rsid w:val="009541D6"/>
    <w:rsid w:val="0096275C"/>
    <w:rsid w:val="0096313C"/>
    <w:rsid w:val="00967B6C"/>
    <w:rsid w:val="00982D6B"/>
    <w:rsid w:val="00987D6D"/>
    <w:rsid w:val="00991546"/>
    <w:rsid w:val="009B3787"/>
    <w:rsid w:val="009C168F"/>
    <w:rsid w:val="009C2A5E"/>
    <w:rsid w:val="009D1F91"/>
    <w:rsid w:val="009E4321"/>
    <w:rsid w:val="00A0638A"/>
    <w:rsid w:val="00A131A6"/>
    <w:rsid w:val="00A14919"/>
    <w:rsid w:val="00A178DC"/>
    <w:rsid w:val="00A353F4"/>
    <w:rsid w:val="00A4131D"/>
    <w:rsid w:val="00A41EE8"/>
    <w:rsid w:val="00A5183D"/>
    <w:rsid w:val="00A53007"/>
    <w:rsid w:val="00A85D40"/>
    <w:rsid w:val="00A97D13"/>
    <w:rsid w:val="00AA5380"/>
    <w:rsid w:val="00AA5D23"/>
    <w:rsid w:val="00AC03AD"/>
    <w:rsid w:val="00AC12A1"/>
    <w:rsid w:val="00AD3EA5"/>
    <w:rsid w:val="00AF1C06"/>
    <w:rsid w:val="00AF2766"/>
    <w:rsid w:val="00B02B00"/>
    <w:rsid w:val="00B21585"/>
    <w:rsid w:val="00B30FC9"/>
    <w:rsid w:val="00B318A5"/>
    <w:rsid w:val="00B44C85"/>
    <w:rsid w:val="00B51697"/>
    <w:rsid w:val="00B526AE"/>
    <w:rsid w:val="00B64536"/>
    <w:rsid w:val="00B70368"/>
    <w:rsid w:val="00B717E4"/>
    <w:rsid w:val="00B76259"/>
    <w:rsid w:val="00B82890"/>
    <w:rsid w:val="00B942CD"/>
    <w:rsid w:val="00BA6E8A"/>
    <w:rsid w:val="00BE1D1E"/>
    <w:rsid w:val="00BF30B1"/>
    <w:rsid w:val="00C03731"/>
    <w:rsid w:val="00C04EBD"/>
    <w:rsid w:val="00C20CD8"/>
    <w:rsid w:val="00C3797E"/>
    <w:rsid w:val="00C64863"/>
    <w:rsid w:val="00C74F42"/>
    <w:rsid w:val="00C83923"/>
    <w:rsid w:val="00C84D59"/>
    <w:rsid w:val="00C86CCC"/>
    <w:rsid w:val="00C940EB"/>
    <w:rsid w:val="00CA5269"/>
    <w:rsid w:val="00CB4BC8"/>
    <w:rsid w:val="00CC5FDF"/>
    <w:rsid w:val="00CF7493"/>
    <w:rsid w:val="00D5119E"/>
    <w:rsid w:val="00D563CA"/>
    <w:rsid w:val="00D60346"/>
    <w:rsid w:val="00D608CB"/>
    <w:rsid w:val="00D653B4"/>
    <w:rsid w:val="00D67610"/>
    <w:rsid w:val="00D91F04"/>
    <w:rsid w:val="00DD0ACA"/>
    <w:rsid w:val="00DD3C11"/>
    <w:rsid w:val="00DD68EB"/>
    <w:rsid w:val="00DE3701"/>
    <w:rsid w:val="00DE707E"/>
    <w:rsid w:val="00E06D7C"/>
    <w:rsid w:val="00E077F6"/>
    <w:rsid w:val="00E2082A"/>
    <w:rsid w:val="00E36740"/>
    <w:rsid w:val="00E514A0"/>
    <w:rsid w:val="00E52A86"/>
    <w:rsid w:val="00E5563E"/>
    <w:rsid w:val="00E73FEA"/>
    <w:rsid w:val="00E8331A"/>
    <w:rsid w:val="00E87FC7"/>
    <w:rsid w:val="00E9023D"/>
    <w:rsid w:val="00E909FD"/>
    <w:rsid w:val="00EA01E6"/>
    <w:rsid w:val="00EA0C48"/>
    <w:rsid w:val="00EA4150"/>
    <w:rsid w:val="00EA483D"/>
    <w:rsid w:val="00EE00A0"/>
    <w:rsid w:val="00EF3C76"/>
    <w:rsid w:val="00F01B5B"/>
    <w:rsid w:val="00F06963"/>
    <w:rsid w:val="00F16C18"/>
    <w:rsid w:val="00F26B67"/>
    <w:rsid w:val="00F30DD5"/>
    <w:rsid w:val="00F42277"/>
    <w:rsid w:val="00F71671"/>
    <w:rsid w:val="00F71E75"/>
    <w:rsid w:val="00F90A1B"/>
    <w:rsid w:val="00FA2894"/>
    <w:rsid w:val="00FA65FA"/>
    <w:rsid w:val="00FB66C8"/>
    <w:rsid w:val="00FB72D3"/>
    <w:rsid w:val="00FD2CE6"/>
    <w:rsid w:val="00FD2D54"/>
    <w:rsid w:val="00FD60C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E6"/>
    <w:pPr>
      <w:spacing w:after="120" w:line="240" w:lineRule="auto"/>
    </w:pPr>
    <w:rPr>
      <w:rFonts w:ascii="Times New Roman" w:hAnsi="Times New Roman"/>
      <w:sz w:val="24"/>
      <w:lang w:val="fr-BE"/>
    </w:rPr>
  </w:style>
  <w:style w:type="paragraph" w:styleId="Rubrik1">
    <w:name w:val="heading 1"/>
    <w:basedOn w:val="Rubrik2"/>
    <w:next w:val="Brdtext"/>
    <w:link w:val="Rubrik1Char"/>
    <w:qFormat/>
    <w:rsid w:val="002C64BC"/>
    <w:pPr>
      <w:numPr>
        <w:ilvl w:val="0"/>
      </w:numPr>
      <w:tabs>
        <w:tab w:val="clear" w:pos="0"/>
      </w:tabs>
      <w:spacing w:before="0"/>
      <w:outlineLvl w:val="0"/>
    </w:pPr>
    <w:rPr>
      <w:sz w:val="32"/>
    </w:rPr>
  </w:style>
  <w:style w:type="paragraph" w:styleId="Rubrik2">
    <w:name w:val="heading 2"/>
    <w:basedOn w:val="Brdtext"/>
    <w:next w:val="Brdtext"/>
    <w:link w:val="Rubrik2Char"/>
    <w:autoRedefine/>
    <w:qFormat/>
    <w:rsid w:val="002C64BC"/>
    <w:pPr>
      <w:keepNext/>
      <w:numPr>
        <w:ilvl w:val="1"/>
        <w:numId w:val="1"/>
      </w:numPr>
      <w:tabs>
        <w:tab w:val="clear" w:pos="0"/>
        <w:tab w:val="left" w:pos="567"/>
      </w:tabs>
      <w:spacing w:before="360" w:after="140"/>
      <w:jc w:val="left"/>
      <w:outlineLvl w:val="1"/>
    </w:pPr>
    <w:rPr>
      <w:b/>
      <w:color w:val="000000" w:themeColor="text1"/>
      <w:sz w:val="28"/>
    </w:rPr>
  </w:style>
  <w:style w:type="paragraph" w:styleId="Rubrik3">
    <w:name w:val="heading 3"/>
    <w:basedOn w:val="Rubrik4"/>
    <w:next w:val="Brdtext"/>
    <w:link w:val="Rubrik3Char"/>
    <w:qFormat/>
    <w:rsid w:val="002C64BC"/>
    <w:pPr>
      <w:numPr>
        <w:ilvl w:val="2"/>
      </w:numPr>
      <w:tabs>
        <w:tab w:val="clear" w:pos="568"/>
        <w:tab w:val="num" w:pos="0"/>
      </w:tabs>
      <w:ind w:left="0"/>
      <w:outlineLvl w:val="2"/>
    </w:pPr>
    <w:rPr>
      <w:i w:val="0"/>
    </w:rPr>
  </w:style>
  <w:style w:type="paragraph" w:styleId="Rubrik4">
    <w:name w:val="heading 4"/>
    <w:basedOn w:val="Rubrik5"/>
    <w:next w:val="Brdtext"/>
    <w:link w:val="Rubrik4Char"/>
    <w:qFormat/>
    <w:rsid w:val="002C64BC"/>
    <w:pPr>
      <w:numPr>
        <w:ilvl w:val="3"/>
      </w:numPr>
      <w:tabs>
        <w:tab w:val="clear" w:pos="360"/>
        <w:tab w:val="num" w:pos="0"/>
      </w:tabs>
      <w:ind w:left="0"/>
      <w:outlineLvl w:val="3"/>
    </w:pPr>
    <w:rPr>
      <w:b/>
    </w:rPr>
  </w:style>
  <w:style w:type="paragraph" w:styleId="Rubrik5">
    <w:name w:val="heading 5"/>
    <w:basedOn w:val="Brdtext"/>
    <w:next w:val="Brdtext"/>
    <w:link w:val="Rubrik5Char"/>
    <w:qFormat/>
    <w:rsid w:val="002C64BC"/>
    <w:pPr>
      <w:keepNext/>
      <w:numPr>
        <w:ilvl w:val="4"/>
        <w:numId w:val="1"/>
      </w:numPr>
      <w:tabs>
        <w:tab w:val="left" w:pos="0"/>
      </w:tabs>
      <w:spacing w:before="260" w:after="140"/>
      <w:outlineLvl w:val="4"/>
    </w:pPr>
    <w:rPr>
      <w:i/>
    </w:rPr>
  </w:style>
  <w:style w:type="paragraph" w:styleId="Rubrik6">
    <w:name w:val="heading 6"/>
    <w:basedOn w:val="Normal"/>
    <w:next w:val="Normal"/>
    <w:link w:val="Rubrik6Char"/>
    <w:qFormat/>
    <w:rsid w:val="002C64BC"/>
    <w:pPr>
      <w:numPr>
        <w:ilvl w:val="5"/>
        <w:numId w:val="1"/>
      </w:numPr>
      <w:tabs>
        <w:tab w:val="left" w:pos="1123"/>
        <w:tab w:val="right" w:pos="2841"/>
        <w:tab w:val="right" w:pos="4343"/>
        <w:tab w:val="right" w:pos="5840"/>
        <w:tab w:val="right" w:pos="7343"/>
        <w:tab w:val="right" w:pos="8505"/>
      </w:tabs>
      <w:suppressAutoHyphens/>
      <w:overflowPunct w:val="0"/>
      <w:autoSpaceDE w:val="0"/>
      <w:jc w:val="both"/>
      <w:textAlignment w:val="baseline"/>
      <w:outlineLvl w:val="5"/>
    </w:pPr>
    <w:rPr>
      <w:rFonts w:ascii="Tahoma" w:eastAsia="Times New Roman" w:hAnsi="Tahoma" w:cs="Tms Rmn"/>
      <w:sz w:val="22"/>
      <w:szCs w:val="20"/>
      <w:lang w:val="en-GB" w:eastAsia="ar-SA"/>
    </w:rPr>
  </w:style>
  <w:style w:type="paragraph" w:styleId="Rubrik7">
    <w:name w:val="heading 7"/>
    <w:basedOn w:val="Normal"/>
    <w:next w:val="Normal"/>
    <w:link w:val="Rubrik7Char"/>
    <w:qFormat/>
    <w:rsid w:val="002C64BC"/>
    <w:pPr>
      <w:numPr>
        <w:ilvl w:val="6"/>
        <w:numId w:val="1"/>
      </w:numPr>
      <w:tabs>
        <w:tab w:val="left" w:pos="1123"/>
        <w:tab w:val="right" w:pos="2841"/>
        <w:tab w:val="right" w:pos="4343"/>
        <w:tab w:val="right" w:pos="5840"/>
        <w:tab w:val="right" w:pos="7343"/>
        <w:tab w:val="right" w:pos="8505"/>
      </w:tabs>
      <w:suppressAutoHyphens/>
      <w:overflowPunct w:val="0"/>
      <w:autoSpaceDE w:val="0"/>
      <w:jc w:val="both"/>
      <w:textAlignment w:val="baseline"/>
      <w:outlineLvl w:val="6"/>
    </w:pPr>
    <w:rPr>
      <w:rFonts w:ascii="Tahoma" w:eastAsia="Times New Roman" w:hAnsi="Tahoma" w:cs="Tms Rmn"/>
      <w:sz w:val="22"/>
      <w:szCs w:val="20"/>
      <w:lang w:val="en-GB" w:eastAsia="ar-SA"/>
    </w:rPr>
  </w:style>
  <w:style w:type="paragraph" w:styleId="Rubrik8">
    <w:name w:val="heading 8"/>
    <w:basedOn w:val="Normal"/>
    <w:next w:val="Normal"/>
    <w:link w:val="Rubrik8Char"/>
    <w:qFormat/>
    <w:rsid w:val="002C64BC"/>
    <w:pPr>
      <w:numPr>
        <w:ilvl w:val="7"/>
        <w:numId w:val="1"/>
      </w:numPr>
      <w:tabs>
        <w:tab w:val="left" w:pos="1123"/>
        <w:tab w:val="right" w:pos="2841"/>
        <w:tab w:val="right" w:pos="4343"/>
        <w:tab w:val="right" w:pos="5840"/>
        <w:tab w:val="right" w:pos="7343"/>
        <w:tab w:val="right" w:pos="8505"/>
      </w:tabs>
      <w:suppressAutoHyphens/>
      <w:overflowPunct w:val="0"/>
      <w:autoSpaceDE w:val="0"/>
      <w:jc w:val="both"/>
      <w:textAlignment w:val="baseline"/>
      <w:outlineLvl w:val="7"/>
    </w:pPr>
    <w:rPr>
      <w:rFonts w:ascii="Tahoma" w:eastAsia="Times New Roman" w:hAnsi="Tahoma" w:cs="Tms Rmn"/>
      <w:sz w:val="22"/>
      <w:szCs w:val="20"/>
      <w:lang w:val="en-GB" w:eastAsia="ar-SA"/>
    </w:rPr>
  </w:style>
  <w:style w:type="paragraph" w:styleId="Rubrik9">
    <w:name w:val="heading 9"/>
    <w:basedOn w:val="Normal"/>
    <w:next w:val="Normal"/>
    <w:link w:val="Rubrik9Char"/>
    <w:qFormat/>
    <w:rsid w:val="002C64BC"/>
    <w:pPr>
      <w:numPr>
        <w:ilvl w:val="8"/>
        <w:numId w:val="1"/>
      </w:numPr>
      <w:tabs>
        <w:tab w:val="left" w:pos="1123"/>
        <w:tab w:val="right" w:pos="2841"/>
        <w:tab w:val="right" w:pos="4343"/>
        <w:tab w:val="right" w:pos="5840"/>
        <w:tab w:val="right" w:pos="7343"/>
        <w:tab w:val="right" w:pos="8505"/>
      </w:tabs>
      <w:suppressAutoHyphens/>
      <w:overflowPunct w:val="0"/>
      <w:autoSpaceDE w:val="0"/>
      <w:jc w:val="both"/>
      <w:textAlignment w:val="baseline"/>
      <w:outlineLvl w:val="8"/>
    </w:pPr>
    <w:rPr>
      <w:rFonts w:ascii="Tahoma" w:eastAsia="Times New Roman" w:hAnsi="Tahoma" w:cs="Tms Rmn"/>
      <w:sz w:val="22"/>
      <w:szCs w:val="20"/>
      <w:lang w:val="en-GB"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5398A"/>
    <w:rPr>
      <w:color w:val="0000FF" w:themeColor="hyperlink"/>
      <w:u w:val="single"/>
    </w:rPr>
  </w:style>
  <w:style w:type="character" w:styleId="Fotnotsreferens">
    <w:name w:val="footnote reference"/>
    <w:semiHidden/>
    <w:rsid w:val="00313E38"/>
    <w:rPr>
      <w:vertAlign w:val="superscript"/>
    </w:rPr>
  </w:style>
  <w:style w:type="paragraph" w:styleId="Brdtext">
    <w:name w:val="Body Text"/>
    <w:basedOn w:val="Normal"/>
    <w:link w:val="BrdtextChar"/>
    <w:semiHidden/>
    <w:rsid w:val="00313E38"/>
    <w:pPr>
      <w:tabs>
        <w:tab w:val="left" w:pos="1123"/>
        <w:tab w:val="right" w:pos="2841"/>
        <w:tab w:val="right" w:pos="4343"/>
        <w:tab w:val="right" w:pos="5840"/>
        <w:tab w:val="right" w:pos="7343"/>
        <w:tab w:val="right" w:pos="8505"/>
      </w:tabs>
      <w:suppressAutoHyphens/>
      <w:overflowPunct w:val="0"/>
      <w:autoSpaceDE w:val="0"/>
      <w:jc w:val="both"/>
      <w:textAlignment w:val="baseline"/>
    </w:pPr>
    <w:rPr>
      <w:rFonts w:ascii="Tahoma" w:eastAsia="Times New Roman" w:hAnsi="Tahoma" w:cs="Tms Rmn"/>
      <w:color w:val="000000"/>
      <w:sz w:val="22"/>
      <w:szCs w:val="24"/>
      <w:lang w:val="en-GB" w:eastAsia="ar-SA"/>
    </w:rPr>
  </w:style>
  <w:style w:type="character" w:customStyle="1" w:styleId="BrdtextChar">
    <w:name w:val="Brödtext Char"/>
    <w:basedOn w:val="Standardstycketeckensnitt"/>
    <w:link w:val="Brdtext"/>
    <w:semiHidden/>
    <w:rsid w:val="00313E38"/>
    <w:rPr>
      <w:rFonts w:ascii="Tahoma" w:eastAsia="Times New Roman" w:hAnsi="Tahoma" w:cs="Tms Rmn"/>
      <w:color w:val="000000"/>
      <w:szCs w:val="24"/>
      <w:lang w:val="en-GB" w:eastAsia="ar-SA"/>
    </w:rPr>
  </w:style>
  <w:style w:type="paragraph" w:styleId="Fotnotstext">
    <w:name w:val="footnote text"/>
    <w:basedOn w:val="Normal"/>
    <w:link w:val="FotnotstextChar"/>
    <w:semiHidden/>
    <w:rsid w:val="00313E38"/>
    <w:pPr>
      <w:tabs>
        <w:tab w:val="left" w:pos="1123"/>
        <w:tab w:val="left" w:pos="1690"/>
        <w:tab w:val="right" w:pos="2841"/>
        <w:tab w:val="right" w:pos="3408"/>
        <w:tab w:val="right" w:pos="3975"/>
        <w:tab w:val="right" w:pos="4343"/>
        <w:tab w:val="right" w:pos="4910"/>
        <w:tab w:val="right" w:pos="5477"/>
        <w:tab w:val="right" w:pos="5840"/>
        <w:tab w:val="right" w:pos="6407"/>
        <w:tab w:val="right" w:pos="6974"/>
        <w:tab w:val="right" w:pos="7343"/>
        <w:tab w:val="right" w:pos="7910"/>
        <w:tab w:val="right" w:pos="8477"/>
        <w:tab w:val="right" w:pos="8505"/>
        <w:tab w:val="right" w:pos="9072"/>
        <w:tab w:val="right" w:pos="9639"/>
      </w:tabs>
      <w:suppressAutoHyphens/>
      <w:overflowPunct w:val="0"/>
      <w:autoSpaceDE w:val="0"/>
      <w:ind w:left="567" w:hanging="567"/>
      <w:jc w:val="both"/>
      <w:textAlignment w:val="baseline"/>
    </w:pPr>
    <w:rPr>
      <w:rFonts w:ascii="Tahoma" w:eastAsia="Times New Roman" w:hAnsi="Tahoma" w:cs="Tms Rmn"/>
      <w:sz w:val="18"/>
      <w:szCs w:val="20"/>
      <w:lang w:val="en-GB" w:eastAsia="ar-SA"/>
    </w:rPr>
  </w:style>
  <w:style w:type="character" w:customStyle="1" w:styleId="FotnotstextChar">
    <w:name w:val="Fotnotstext Char"/>
    <w:basedOn w:val="Standardstycketeckensnitt"/>
    <w:link w:val="Fotnotstext"/>
    <w:semiHidden/>
    <w:rsid w:val="00313E38"/>
    <w:rPr>
      <w:rFonts w:ascii="Tahoma" w:eastAsia="Times New Roman" w:hAnsi="Tahoma" w:cs="Tms Rmn"/>
      <w:sz w:val="18"/>
      <w:szCs w:val="20"/>
      <w:lang w:val="en-GB" w:eastAsia="ar-SA"/>
    </w:rPr>
  </w:style>
  <w:style w:type="character" w:customStyle="1" w:styleId="WW8Num4z0">
    <w:name w:val="WW8Num4z0"/>
    <w:rsid w:val="00FD2CE6"/>
    <w:rPr>
      <w:rFonts w:ascii="Symbol" w:hAnsi="Symbol"/>
    </w:rPr>
  </w:style>
  <w:style w:type="character" w:customStyle="1" w:styleId="Rubrik1Char">
    <w:name w:val="Rubrik 1 Char"/>
    <w:basedOn w:val="Standardstycketeckensnitt"/>
    <w:link w:val="Rubrik1"/>
    <w:rsid w:val="002C64BC"/>
    <w:rPr>
      <w:rFonts w:ascii="Tahoma" w:eastAsia="Times New Roman" w:hAnsi="Tahoma" w:cs="Tms Rmn"/>
      <w:b/>
      <w:color w:val="000000" w:themeColor="text1"/>
      <w:sz w:val="32"/>
      <w:szCs w:val="24"/>
      <w:lang w:val="en-GB" w:eastAsia="ar-SA"/>
    </w:rPr>
  </w:style>
  <w:style w:type="character" w:customStyle="1" w:styleId="Rubrik2Char">
    <w:name w:val="Rubrik 2 Char"/>
    <w:basedOn w:val="Standardstycketeckensnitt"/>
    <w:link w:val="Rubrik2"/>
    <w:rsid w:val="002C64BC"/>
    <w:rPr>
      <w:rFonts w:ascii="Tahoma" w:eastAsia="Times New Roman" w:hAnsi="Tahoma" w:cs="Tms Rmn"/>
      <w:b/>
      <w:color w:val="000000" w:themeColor="text1"/>
      <w:sz w:val="28"/>
      <w:szCs w:val="24"/>
      <w:lang w:val="en-GB" w:eastAsia="ar-SA"/>
    </w:rPr>
  </w:style>
  <w:style w:type="character" w:customStyle="1" w:styleId="Rubrik3Char">
    <w:name w:val="Rubrik 3 Char"/>
    <w:basedOn w:val="Standardstycketeckensnitt"/>
    <w:link w:val="Rubrik3"/>
    <w:rsid w:val="002C64BC"/>
    <w:rPr>
      <w:rFonts w:ascii="Tahoma" w:eastAsia="Times New Roman" w:hAnsi="Tahoma" w:cs="Tms Rmn"/>
      <w:b/>
      <w:color w:val="000000"/>
      <w:szCs w:val="24"/>
      <w:lang w:val="en-GB" w:eastAsia="ar-SA"/>
    </w:rPr>
  </w:style>
  <w:style w:type="character" w:customStyle="1" w:styleId="Rubrik4Char">
    <w:name w:val="Rubrik 4 Char"/>
    <w:basedOn w:val="Standardstycketeckensnitt"/>
    <w:link w:val="Rubrik4"/>
    <w:rsid w:val="002C64BC"/>
    <w:rPr>
      <w:rFonts w:ascii="Tahoma" w:eastAsia="Times New Roman" w:hAnsi="Tahoma" w:cs="Tms Rmn"/>
      <w:b/>
      <w:i/>
      <w:color w:val="000000"/>
      <w:szCs w:val="24"/>
      <w:lang w:val="en-GB" w:eastAsia="ar-SA"/>
    </w:rPr>
  </w:style>
  <w:style w:type="character" w:customStyle="1" w:styleId="Rubrik5Char">
    <w:name w:val="Rubrik 5 Char"/>
    <w:basedOn w:val="Standardstycketeckensnitt"/>
    <w:link w:val="Rubrik5"/>
    <w:rsid w:val="002C64BC"/>
    <w:rPr>
      <w:rFonts w:ascii="Tahoma" w:eastAsia="Times New Roman" w:hAnsi="Tahoma" w:cs="Tms Rmn"/>
      <w:i/>
      <w:color w:val="000000"/>
      <w:szCs w:val="24"/>
      <w:lang w:val="en-GB" w:eastAsia="ar-SA"/>
    </w:rPr>
  </w:style>
  <w:style w:type="character" w:customStyle="1" w:styleId="Rubrik6Char">
    <w:name w:val="Rubrik 6 Char"/>
    <w:basedOn w:val="Standardstycketeckensnitt"/>
    <w:link w:val="Rubrik6"/>
    <w:rsid w:val="002C64BC"/>
    <w:rPr>
      <w:rFonts w:ascii="Tahoma" w:eastAsia="Times New Roman" w:hAnsi="Tahoma" w:cs="Tms Rmn"/>
      <w:szCs w:val="20"/>
      <w:lang w:val="en-GB" w:eastAsia="ar-SA"/>
    </w:rPr>
  </w:style>
  <w:style w:type="character" w:customStyle="1" w:styleId="Rubrik7Char">
    <w:name w:val="Rubrik 7 Char"/>
    <w:basedOn w:val="Standardstycketeckensnitt"/>
    <w:link w:val="Rubrik7"/>
    <w:rsid w:val="002C64BC"/>
    <w:rPr>
      <w:rFonts w:ascii="Tahoma" w:eastAsia="Times New Roman" w:hAnsi="Tahoma" w:cs="Tms Rmn"/>
      <w:szCs w:val="20"/>
      <w:lang w:val="en-GB" w:eastAsia="ar-SA"/>
    </w:rPr>
  </w:style>
  <w:style w:type="character" w:customStyle="1" w:styleId="Rubrik8Char">
    <w:name w:val="Rubrik 8 Char"/>
    <w:basedOn w:val="Standardstycketeckensnitt"/>
    <w:link w:val="Rubrik8"/>
    <w:rsid w:val="002C64BC"/>
    <w:rPr>
      <w:rFonts w:ascii="Tahoma" w:eastAsia="Times New Roman" w:hAnsi="Tahoma" w:cs="Tms Rmn"/>
      <w:szCs w:val="20"/>
      <w:lang w:val="en-GB" w:eastAsia="ar-SA"/>
    </w:rPr>
  </w:style>
  <w:style w:type="character" w:customStyle="1" w:styleId="Rubrik9Char">
    <w:name w:val="Rubrik 9 Char"/>
    <w:basedOn w:val="Standardstycketeckensnitt"/>
    <w:link w:val="Rubrik9"/>
    <w:rsid w:val="002C64BC"/>
    <w:rPr>
      <w:rFonts w:ascii="Tahoma" w:eastAsia="Times New Roman" w:hAnsi="Tahoma" w:cs="Tms Rmn"/>
      <w:szCs w:val="20"/>
      <w:lang w:val="en-GB" w:eastAsia="ar-SA"/>
    </w:rPr>
  </w:style>
  <w:style w:type="paragraph" w:styleId="Ballongtext">
    <w:name w:val="Balloon Text"/>
    <w:basedOn w:val="Normal"/>
    <w:link w:val="BallongtextChar"/>
    <w:uiPriority w:val="99"/>
    <w:semiHidden/>
    <w:unhideWhenUsed/>
    <w:rsid w:val="00F30DD5"/>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30DD5"/>
    <w:rPr>
      <w:rFonts w:ascii="Tahoma" w:hAnsi="Tahoma" w:cs="Tahoma"/>
      <w:sz w:val="16"/>
      <w:szCs w:val="16"/>
      <w:lang w:val="fr-BE"/>
    </w:rPr>
  </w:style>
  <w:style w:type="paragraph" w:styleId="Sidhuvud">
    <w:name w:val="header"/>
    <w:basedOn w:val="Normal"/>
    <w:link w:val="SidhuvudChar"/>
    <w:uiPriority w:val="99"/>
    <w:semiHidden/>
    <w:unhideWhenUsed/>
    <w:rsid w:val="00920D0F"/>
    <w:pPr>
      <w:tabs>
        <w:tab w:val="center" w:pos="4536"/>
        <w:tab w:val="right" w:pos="9072"/>
      </w:tabs>
      <w:spacing w:after="0"/>
    </w:pPr>
  </w:style>
  <w:style w:type="character" w:customStyle="1" w:styleId="SidhuvudChar">
    <w:name w:val="Sidhuvud Char"/>
    <w:basedOn w:val="Standardstycketeckensnitt"/>
    <w:link w:val="Sidhuvud"/>
    <w:uiPriority w:val="99"/>
    <w:semiHidden/>
    <w:rsid w:val="00920D0F"/>
    <w:rPr>
      <w:rFonts w:ascii="Times New Roman" w:hAnsi="Times New Roman"/>
      <w:sz w:val="24"/>
      <w:lang w:val="fr-BE"/>
    </w:rPr>
  </w:style>
  <w:style w:type="paragraph" w:styleId="Sidfot">
    <w:name w:val="footer"/>
    <w:basedOn w:val="Normal"/>
    <w:link w:val="SidfotChar"/>
    <w:uiPriority w:val="99"/>
    <w:unhideWhenUsed/>
    <w:rsid w:val="00920D0F"/>
    <w:pPr>
      <w:tabs>
        <w:tab w:val="center" w:pos="4536"/>
        <w:tab w:val="right" w:pos="9072"/>
      </w:tabs>
      <w:spacing w:after="0"/>
    </w:pPr>
  </w:style>
  <w:style w:type="character" w:customStyle="1" w:styleId="SidfotChar">
    <w:name w:val="Sidfot Char"/>
    <w:basedOn w:val="Standardstycketeckensnitt"/>
    <w:link w:val="Sidfot"/>
    <w:uiPriority w:val="99"/>
    <w:rsid w:val="00920D0F"/>
    <w:rPr>
      <w:rFonts w:ascii="Times New Roman" w:hAnsi="Times New Roman"/>
      <w:sz w:val="24"/>
      <w:lang w:val="fr-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733</Words>
  <Characters>3890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5</cp:revision>
  <cp:lastPrinted>2015-01-26T18:04:00Z</cp:lastPrinted>
  <dcterms:created xsi:type="dcterms:W3CDTF">2015-01-22T20:25:00Z</dcterms:created>
  <dcterms:modified xsi:type="dcterms:W3CDTF">2015-01-26T18:04:00Z</dcterms:modified>
</cp:coreProperties>
</file>